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fonts/font9.odttf" ContentType="application/vnd.openxmlformats-officedocument.obfuscatedFont"/>
  <Override PartName="/word/fonts/font8.odttf" ContentType="application/vnd.openxmlformats-officedocument.obfuscatedFont"/>
  <Override PartName="/word/fonts/font7.odttf" ContentType="application/vnd.openxmlformats-officedocument.obfuscatedFont"/>
  <Override PartName="/word/fonts/font6.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5.odttf" ContentType="application/vnd.openxmlformats-officedocument.obfuscatedFont"/>
  <Override PartName="/word/fonts/font14.odttf" ContentType="application/vnd.openxmlformats-officedocument.obfuscatedFont"/>
  <Override PartName="/word/fonts/font5.odttf" ContentType="application/vnd.openxmlformats-officedocument.obfuscatedFont"/>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3.odttf" ContentType="application/vnd.openxmlformats-officedocument.obfuscatedFont"/>
  <Override PartName="/word/fonts/font12.odttf" ContentType="application/vnd.openxmlformats-officedocument.obfuscatedFont"/>
  <Override PartName="/word/fonts/font4.odttf" ContentType="application/vnd.openxmlformats-officedocument.obfuscatedFont"/>
  <Override PartName="/word/fonts/font13.odttf" ContentType="application/vnd.openxmlformats-officedocument.obfuscatedFont"/>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5000" w:type="pct"/>
        <w:jc w:val="left"/>
        <w:tblInd w:w="0" w:type="dxa"/>
        <w:tblLayout w:type="fixed"/>
        <w:tblCellMar>
          <w:top w:w="28" w:type="dxa"/>
          <w:left w:w="28" w:type="dxa"/>
          <w:bottom w:w="28" w:type="dxa"/>
          <w:right w:w="28" w:type="dxa"/>
        </w:tblCellMar>
      </w:tblPr>
      <w:tblGrid>
        <w:gridCol w:w="2839"/>
        <w:gridCol w:w="9259"/>
        <w:gridCol w:w="1014"/>
        <w:gridCol w:w="1013"/>
        <w:gridCol w:w="899"/>
      </w:tblGrid>
      <w:tr>
        <w:trPr>
          <w:tblHeader w:val="true"/>
        </w:trPr>
        <w:tc>
          <w:tcPr>
            <w:tcW w:w="2839" w:type="dxa"/>
            <w:tcBorders>
              <w:top w:val="single" w:sz="2" w:space="0" w:color="000000"/>
              <w:left w:val="single" w:sz="2" w:space="0" w:color="000000"/>
              <w:bottom w:val="single" w:sz="2" w:space="0" w:color="000000"/>
            </w:tcBorders>
            <w:shd w:fill="EEEEEE" w:val="clear"/>
          </w:tcPr>
          <w:p>
            <w:pPr>
              <w:pStyle w:val="Tabelleninhalt"/>
              <w:widowControl w:val="false"/>
              <w:bidi w:val="0"/>
              <w:jc w:val="left"/>
              <w:rPr>
                <w:rFonts w:ascii="Arial" w:hAnsi="Arial"/>
                <w:b/>
                <w:bCs/>
                <w:sz w:val="20"/>
                <w:szCs w:val="20"/>
              </w:rPr>
            </w:pPr>
            <w:r>
              <w:rPr>
                <w:rFonts w:ascii="Arial" w:hAnsi="Arial"/>
                <w:b/>
                <w:bCs/>
                <w:sz w:val="20"/>
                <w:szCs w:val="20"/>
              </w:rPr>
              <w:t>Begriff</w:t>
            </w:r>
          </w:p>
        </w:tc>
        <w:tc>
          <w:tcPr>
            <w:tcW w:w="9259" w:type="dxa"/>
            <w:tcBorders>
              <w:top w:val="single" w:sz="2" w:space="0" w:color="000000"/>
              <w:left w:val="single" w:sz="2" w:space="0" w:color="000000"/>
              <w:bottom w:val="single" w:sz="2" w:space="0" w:color="000000"/>
            </w:tcBorders>
            <w:shd w:fill="EEEEEE" w:val="clear"/>
          </w:tcPr>
          <w:p>
            <w:pPr>
              <w:pStyle w:val="Tabelleninhalt"/>
              <w:widowControl w:val="false"/>
              <w:bidi w:val="0"/>
              <w:jc w:val="left"/>
              <w:rPr>
                <w:rFonts w:ascii="Arial" w:hAnsi="Arial"/>
                <w:b/>
                <w:bCs/>
                <w:sz w:val="20"/>
                <w:szCs w:val="20"/>
              </w:rPr>
            </w:pPr>
            <w:r>
              <w:rPr>
                <w:rFonts w:ascii="Arial" w:hAnsi="Arial"/>
                <w:b/>
                <w:bCs/>
                <w:sz w:val="20"/>
                <w:szCs w:val="20"/>
              </w:rPr>
              <w:t>Was ist das?</w:t>
            </w:r>
          </w:p>
        </w:tc>
        <w:tc>
          <w:tcPr>
            <w:tcW w:w="1014" w:type="dxa"/>
            <w:tcBorders>
              <w:top w:val="single" w:sz="2" w:space="0" w:color="000000"/>
              <w:left w:val="single" w:sz="2" w:space="0" w:color="000000"/>
              <w:bottom w:val="single" w:sz="2" w:space="0" w:color="000000"/>
            </w:tcBorders>
            <w:shd w:fill="EEEEEE" w:val="clear"/>
          </w:tcPr>
          <w:p>
            <w:pPr>
              <w:pStyle w:val="Tabelleninhalt"/>
              <w:widowControl w:val="false"/>
              <w:bidi w:val="0"/>
              <w:jc w:val="left"/>
              <w:rPr>
                <w:rFonts w:ascii="Arial" w:hAnsi="Arial"/>
                <w:b/>
                <w:bCs/>
                <w:sz w:val="18"/>
                <w:szCs w:val="18"/>
              </w:rPr>
            </w:pPr>
            <w:r>
              <w:rPr>
                <w:rFonts w:ascii="Arial" w:hAnsi="Arial"/>
                <w:b/>
                <w:bCs/>
                <w:sz w:val="18"/>
                <w:szCs w:val="18"/>
              </w:rPr>
              <w:t xml:space="preserve">Verarbeiter (Anbieter / Betreiber) </w:t>
            </w:r>
          </w:p>
        </w:tc>
        <w:tc>
          <w:tcPr>
            <w:tcW w:w="1013" w:type="dxa"/>
            <w:tcBorders>
              <w:top w:val="single" w:sz="2" w:space="0" w:color="000000"/>
              <w:left w:val="single" w:sz="2" w:space="0" w:color="000000"/>
              <w:bottom w:val="single" w:sz="2" w:space="0" w:color="000000"/>
            </w:tcBorders>
            <w:shd w:fill="EEEEEE" w:val="clear"/>
          </w:tcPr>
          <w:p>
            <w:pPr>
              <w:pStyle w:val="Tabelleninhalt"/>
              <w:widowControl w:val="false"/>
              <w:bidi w:val="0"/>
              <w:jc w:val="left"/>
              <w:rPr>
                <w:rFonts w:ascii="Arial" w:hAnsi="Arial"/>
                <w:b/>
                <w:bCs/>
                <w:sz w:val="18"/>
                <w:szCs w:val="18"/>
              </w:rPr>
            </w:pPr>
            <w:r>
              <w:rPr>
                <w:rFonts w:ascii="Arial" w:hAnsi="Arial"/>
                <w:b/>
                <w:bCs/>
                <w:sz w:val="18"/>
                <w:szCs w:val="18"/>
              </w:rPr>
              <w:t>Verant-wortlicher (Schule)</w:t>
            </w:r>
          </w:p>
        </w:tc>
        <w:tc>
          <w:tcPr>
            <w:tcW w:w="899" w:type="dxa"/>
            <w:tcBorders>
              <w:top w:val="single" w:sz="2" w:space="0" w:color="000000"/>
              <w:left w:val="single" w:sz="2" w:space="0" w:color="000000"/>
              <w:bottom w:val="single" w:sz="2" w:space="0" w:color="000000"/>
              <w:right w:val="single" w:sz="2" w:space="0" w:color="000000"/>
            </w:tcBorders>
            <w:shd w:fill="EEEEEE" w:val="clear"/>
          </w:tcPr>
          <w:p>
            <w:pPr>
              <w:pStyle w:val="Tabelleninhalt"/>
              <w:widowControl w:val="false"/>
              <w:bidi w:val="0"/>
              <w:jc w:val="left"/>
              <w:rPr>
                <w:rFonts w:ascii="Arial" w:hAnsi="Arial"/>
                <w:b/>
                <w:bCs/>
                <w:sz w:val="18"/>
                <w:szCs w:val="18"/>
              </w:rPr>
            </w:pPr>
            <w:r>
              <w:rPr>
                <w:rFonts w:ascii="Arial" w:hAnsi="Arial"/>
                <w:b/>
                <w:bCs/>
                <w:sz w:val="18"/>
                <w:szCs w:val="18"/>
              </w:rPr>
              <w:t>normale Lehrkraft</w:t>
            </w:r>
          </w:p>
        </w:tc>
      </w:tr>
      <w:tr>
        <w:trPr/>
        <w:tc>
          <w:tcPr>
            <w:tcW w:w="2839" w:type="dxa"/>
            <w:tcBorders>
              <w:top w:val="single" w:sz="18" w:space="0" w:color="000000"/>
              <w:left w:val="single" w:sz="2" w:space="0" w:color="000000"/>
              <w:bottom w:val="single" w:sz="2" w:space="0" w:color="000000"/>
            </w:tcBorders>
          </w:tcPr>
          <w:p>
            <w:pPr>
              <w:pStyle w:val="Tabelleninhalt"/>
              <w:widowControl w:val="false"/>
              <w:bidi w:val="0"/>
              <w:jc w:val="left"/>
              <w:rPr>
                <w:rFonts w:ascii="Arial" w:hAnsi="Arial"/>
                <w:b/>
                <w:bCs/>
                <w:sz w:val="20"/>
                <w:szCs w:val="20"/>
              </w:rPr>
            </w:pPr>
            <w:r>
              <w:rPr>
                <w:rFonts w:ascii="Arial" w:hAnsi="Arial"/>
                <w:b/>
                <w:bCs/>
                <w:sz w:val="20"/>
                <w:szCs w:val="20"/>
              </w:rPr>
              <w:t>Datensicherheit</w:t>
            </w:r>
          </w:p>
        </w:tc>
        <w:tc>
          <w:tcPr>
            <w:tcW w:w="12185" w:type="dxa"/>
            <w:gridSpan w:val="4"/>
            <w:tcBorders>
              <w:top w:val="single" w:sz="18" w:space="0" w:color="000000"/>
              <w:left w:val="single" w:sz="2" w:space="0" w:color="000000"/>
              <w:bottom w:val="single" w:sz="2" w:space="0" w:color="000000"/>
              <w:right w:val="single" w:sz="2" w:space="0" w:color="000000"/>
            </w:tcBorders>
          </w:tcPr>
          <w:p>
            <w:pPr>
              <w:pStyle w:val="Tabelleninhalt"/>
              <w:widowControl w:val="false"/>
              <w:bidi w:val="0"/>
              <w:jc w:val="left"/>
              <w:rPr>
                <w:rFonts w:ascii="Arial" w:hAnsi="Arial"/>
                <w:sz w:val="20"/>
                <w:szCs w:val="20"/>
              </w:rPr>
            </w:pPr>
            <w:r>
              <w:rPr>
                <w:rFonts w:ascii="Arial" w:hAnsi="Arial"/>
                <w:b/>
                <w:bCs/>
                <w:sz w:val="20"/>
                <w:szCs w:val="20"/>
              </w:rPr>
              <w:t>Schutz von Daten</w:t>
            </w:r>
            <w:r>
              <w:rPr>
                <w:rFonts w:ascii="Arial" w:hAnsi="Arial"/>
                <w:sz w:val="20"/>
                <w:szCs w:val="20"/>
              </w:rPr>
              <w:t xml:space="preserve"> hinsichtlich der drei grundlegenden Schutzziele Vertraulichkeit, Integrität und Verfügbarkeit</w:t>
            </w:r>
          </w:p>
        </w:tc>
      </w:tr>
      <w:tr>
        <w:trPr/>
        <w:tc>
          <w:tcPr>
            <w:tcW w:w="2839" w:type="dxa"/>
            <w:tcBorders>
              <w:left w:val="single" w:sz="2" w:space="0" w:color="000000"/>
              <w:bottom w:val="single" w:sz="2" w:space="0" w:color="000000"/>
            </w:tcBorders>
          </w:tcPr>
          <w:p>
            <w:pPr>
              <w:pStyle w:val="Tabelleninhalt"/>
              <w:widowControl w:val="false"/>
              <w:bidi w:val="0"/>
              <w:jc w:val="left"/>
              <w:rPr>
                <w:rFonts w:ascii="Arial" w:hAnsi="Arial"/>
                <w:sz w:val="20"/>
                <w:szCs w:val="20"/>
              </w:rPr>
            </w:pPr>
            <w:r>
              <w:rPr>
                <w:rFonts w:ascii="Arial" w:hAnsi="Arial"/>
                <w:sz w:val="20"/>
                <w:szCs w:val="20"/>
              </w:rPr>
              <w:t>Betriebshandbuch</w:t>
            </w:r>
          </w:p>
        </w:tc>
        <w:tc>
          <w:tcPr>
            <w:tcW w:w="9259" w:type="dxa"/>
            <w:tcBorders>
              <w:left w:val="single" w:sz="2" w:space="0" w:color="000000"/>
              <w:bottom w:val="single" w:sz="2" w:space="0" w:color="000000"/>
            </w:tcBorders>
          </w:tcPr>
          <w:p>
            <w:pPr>
              <w:pStyle w:val="Tabelleninhalt"/>
              <w:widowControl w:val="false"/>
              <w:bidi w:val="0"/>
              <w:jc w:val="left"/>
              <w:rPr>
                <w:rFonts w:ascii="Arial" w:hAnsi="Arial"/>
                <w:sz w:val="20"/>
                <w:szCs w:val="20"/>
              </w:rPr>
            </w:pPr>
            <w:r>
              <w:rPr>
                <w:rFonts w:ascii="Arial" w:hAnsi="Arial"/>
                <w:sz w:val="20"/>
                <w:szCs w:val="20"/>
              </w:rPr>
              <w:t>Das technische Betriebshandbuch beschreibt den genauen Aufbau eines Systems mit allen Schnittstellen und Berechtigungen bzw. Rollen darin und beschreibt die technischen Maßnahmen.</w:t>
            </w:r>
          </w:p>
          <w:p>
            <w:pPr>
              <w:pStyle w:val="Tabelleninhalt"/>
              <w:widowControl w:val="false"/>
              <w:bidi w:val="0"/>
              <w:jc w:val="left"/>
              <w:rPr>
                <w:rFonts w:ascii="Arial" w:hAnsi="Arial"/>
                <w:sz w:val="20"/>
                <w:szCs w:val="20"/>
              </w:rPr>
            </w:pPr>
            <w:r>
              <w:rPr>
                <w:rFonts w:ascii="Arial" w:hAnsi="Arial"/>
                <w:sz w:val="20"/>
                <w:szCs w:val="20"/>
              </w:rPr>
              <w:t>Das organisatorische Betriebshandbuch definiert alle Verantwortlichkeiten, Rollen und Prozesse und beschreibt die organisatorischen Maßnahmen</w:t>
            </w:r>
          </w:p>
        </w:tc>
        <w:tc>
          <w:tcPr>
            <w:tcW w:w="1014" w:type="dxa"/>
            <w:tcBorders>
              <w:left w:val="single" w:sz="2" w:space="0" w:color="000000"/>
              <w:bottom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t>☒</w:t>
            </w:r>
          </w:p>
          <w:p>
            <w:pPr>
              <w:pStyle w:val="Tabelleninhalt"/>
              <w:widowControl w:val="false"/>
              <w:bidi w:val="0"/>
              <w:jc w:val="center"/>
              <w:rPr>
                <w:rFonts w:ascii="Arial" w:hAnsi="Arial"/>
                <w:sz w:val="16"/>
                <w:szCs w:val="16"/>
              </w:rPr>
            </w:pPr>
            <w:r>
              <w:rPr>
                <w:rFonts w:ascii="Arial" w:hAnsi="Arial"/>
                <w:sz w:val="16"/>
                <w:szCs w:val="16"/>
              </w:rPr>
              <w:t>(gewährt Verantwortlichem Einsicht)</w:t>
            </w:r>
          </w:p>
        </w:tc>
        <w:tc>
          <w:tcPr>
            <w:tcW w:w="1013" w:type="dxa"/>
            <w:tcBorders>
              <w:left w:val="single" w:sz="2" w:space="0" w:color="000000"/>
              <w:bottom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r>
          </w:p>
        </w:tc>
        <w:tc>
          <w:tcPr>
            <w:tcW w:w="899" w:type="dxa"/>
            <w:tcBorders>
              <w:left w:val="single" w:sz="2" w:space="0" w:color="000000"/>
              <w:bottom w:val="single" w:sz="2" w:space="0" w:color="000000"/>
              <w:right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r>
          </w:p>
        </w:tc>
      </w:tr>
      <w:tr>
        <w:trPr/>
        <w:tc>
          <w:tcPr>
            <w:tcW w:w="2839" w:type="dxa"/>
            <w:tcBorders>
              <w:left w:val="single" w:sz="2" w:space="0" w:color="000000"/>
              <w:bottom w:val="single" w:sz="2" w:space="0" w:color="000000"/>
            </w:tcBorders>
          </w:tcPr>
          <w:p>
            <w:pPr>
              <w:pStyle w:val="Tabelleninhalt"/>
              <w:widowControl w:val="false"/>
              <w:bidi w:val="0"/>
              <w:jc w:val="left"/>
              <w:rPr>
                <w:rFonts w:ascii="Arial" w:hAnsi="Arial"/>
                <w:sz w:val="20"/>
                <w:szCs w:val="20"/>
              </w:rPr>
            </w:pPr>
            <w:r>
              <w:rPr>
                <w:rFonts w:ascii="Arial" w:hAnsi="Arial"/>
                <w:sz w:val="20"/>
                <w:szCs w:val="20"/>
              </w:rPr>
              <w:t>TOMs</w:t>
            </w:r>
          </w:p>
        </w:tc>
        <w:tc>
          <w:tcPr>
            <w:tcW w:w="9259" w:type="dxa"/>
            <w:tcBorders>
              <w:left w:val="single" w:sz="2" w:space="0" w:color="000000"/>
              <w:bottom w:val="single" w:sz="2" w:space="0" w:color="000000"/>
            </w:tcBorders>
          </w:tcPr>
          <w:p>
            <w:pPr>
              <w:pStyle w:val="Tabelleninhalt"/>
              <w:widowControl w:val="false"/>
              <w:bidi w:val="0"/>
              <w:jc w:val="left"/>
              <w:rPr>
                <w:rFonts w:ascii="Arial" w:hAnsi="Arial"/>
                <w:sz w:val="20"/>
                <w:szCs w:val="20"/>
              </w:rPr>
            </w:pPr>
            <w:r>
              <w:rPr>
                <w:rFonts w:ascii="Arial" w:hAnsi="Arial"/>
                <w:sz w:val="20"/>
                <w:szCs w:val="20"/>
              </w:rPr>
              <w:t>Die technische-organisatorischen Maßnahmen (TOMs) entspringen dem Sicherheitskonzept und sind in den Betriebshandbüchern enthalten.</w:t>
            </w:r>
          </w:p>
        </w:tc>
        <w:tc>
          <w:tcPr>
            <w:tcW w:w="1014" w:type="dxa"/>
            <w:tcBorders>
              <w:left w:val="single" w:sz="2" w:space="0" w:color="000000"/>
              <w:bottom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t>☒</w:t>
            </w:r>
          </w:p>
        </w:tc>
        <w:tc>
          <w:tcPr>
            <w:tcW w:w="1013" w:type="dxa"/>
            <w:tcBorders>
              <w:left w:val="single" w:sz="2" w:space="0" w:color="000000"/>
              <w:bottom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r>
          </w:p>
        </w:tc>
        <w:tc>
          <w:tcPr>
            <w:tcW w:w="899" w:type="dxa"/>
            <w:tcBorders>
              <w:left w:val="single" w:sz="2" w:space="0" w:color="000000"/>
              <w:bottom w:val="single" w:sz="2" w:space="0" w:color="000000"/>
              <w:right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r>
          </w:p>
        </w:tc>
      </w:tr>
      <w:tr>
        <w:trPr/>
        <w:tc>
          <w:tcPr>
            <w:tcW w:w="2839" w:type="dxa"/>
            <w:tcBorders>
              <w:left w:val="single" w:sz="2" w:space="0" w:color="000000"/>
              <w:bottom w:val="single" w:sz="2" w:space="0" w:color="000000"/>
            </w:tcBorders>
          </w:tcPr>
          <w:p>
            <w:pPr>
              <w:pStyle w:val="Tabelleninhalt"/>
              <w:widowControl w:val="false"/>
              <w:bidi w:val="0"/>
              <w:jc w:val="left"/>
              <w:rPr>
                <w:rFonts w:ascii="Arial" w:hAnsi="Arial"/>
                <w:sz w:val="20"/>
                <w:szCs w:val="20"/>
              </w:rPr>
            </w:pPr>
            <w:r>
              <w:rPr>
                <w:rFonts w:ascii="Arial" w:hAnsi="Arial"/>
                <w:sz w:val="20"/>
                <w:szCs w:val="20"/>
              </w:rPr>
              <w:t>Sicherheitskonzept</w:t>
            </w:r>
          </w:p>
        </w:tc>
        <w:tc>
          <w:tcPr>
            <w:tcW w:w="9259" w:type="dxa"/>
            <w:tcBorders>
              <w:left w:val="single" w:sz="2" w:space="0" w:color="000000"/>
              <w:bottom w:val="single" w:sz="2" w:space="0" w:color="000000"/>
            </w:tcBorders>
          </w:tcPr>
          <w:p>
            <w:pPr>
              <w:pStyle w:val="Tabelleninhalt"/>
              <w:widowControl w:val="false"/>
              <w:bidi w:val="0"/>
              <w:jc w:val="left"/>
              <w:rPr>
                <w:rFonts w:ascii="Arial" w:hAnsi="Arial"/>
                <w:sz w:val="20"/>
                <w:szCs w:val="20"/>
              </w:rPr>
            </w:pPr>
            <w:r>
              <w:rPr>
                <w:rFonts w:ascii="Arial" w:hAnsi="Arial"/>
                <w:sz w:val="20"/>
                <w:szCs w:val="20"/>
              </w:rPr>
              <w:t xml:space="preserve">Die Erstellung des fachlichen und des technischen Sicherheitskonzepts ist ein regelmäßiger Prozess, bei dem in einer Strukturanalyse (=Modellierung) ein System zunächst genau erfasst wird. Im nächsten Schritt erfolgt eine Schutzbedarfsfeststellung bezüglich der verarbeiteten Daten, typischerweise normal bis hoch. Als Checkliste dienen die Bausteine des BSI-Grundschutzchecks </w:t>
            </w:r>
          </w:p>
        </w:tc>
        <w:tc>
          <w:tcPr>
            <w:tcW w:w="1014" w:type="dxa"/>
            <w:tcBorders>
              <w:left w:val="single" w:sz="2" w:space="0" w:color="000000"/>
              <w:bottom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t>☒</w:t>
            </w:r>
          </w:p>
        </w:tc>
        <w:tc>
          <w:tcPr>
            <w:tcW w:w="1013" w:type="dxa"/>
            <w:tcBorders>
              <w:left w:val="single" w:sz="2" w:space="0" w:color="000000"/>
              <w:bottom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r>
          </w:p>
        </w:tc>
        <w:tc>
          <w:tcPr>
            <w:tcW w:w="899" w:type="dxa"/>
            <w:tcBorders>
              <w:left w:val="single" w:sz="2" w:space="0" w:color="000000"/>
              <w:bottom w:val="single" w:sz="2" w:space="0" w:color="000000"/>
              <w:right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r>
          </w:p>
        </w:tc>
      </w:tr>
      <w:tr>
        <w:trPr/>
        <w:tc>
          <w:tcPr>
            <w:tcW w:w="2839" w:type="dxa"/>
            <w:tcBorders>
              <w:top w:val="single" w:sz="18" w:space="0" w:color="000000"/>
              <w:left w:val="single" w:sz="2" w:space="0" w:color="000000"/>
              <w:bottom w:val="single" w:sz="2" w:space="0" w:color="000000"/>
            </w:tcBorders>
          </w:tcPr>
          <w:p>
            <w:pPr>
              <w:pStyle w:val="Tabelleninhalt"/>
              <w:widowControl w:val="false"/>
              <w:bidi w:val="0"/>
              <w:jc w:val="left"/>
              <w:rPr>
                <w:rFonts w:ascii="Arial" w:hAnsi="Arial"/>
                <w:b/>
                <w:bCs/>
                <w:sz w:val="20"/>
                <w:szCs w:val="20"/>
              </w:rPr>
            </w:pPr>
            <w:r>
              <w:rPr>
                <w:rFonts w:ascii="Arial" w:hAnsi="Arial"/>
                <w:b/>
                <w:bCs/>
                <w:sz w:val="20"/>
                <w:szCs w:val="20"/>
              </w:rPr>
              <w:t>Datenschutz</w:t>
            </w:r>
          </w:p>
        </w:tc>
        <w:tc>
          <w:tcPr>
            <w:tcW w:w="12185" w:type="dxa"/>
            <w:gridSpan w:val="4"/>
            <w:tcBorders>
              <w:top w:val="single" w:sz="18" w:space="0" w:color="000000"/>
              <w:left w:val="single" w:sz="2" w:space="0" w:color="000000"/>
              <w:bottom w:val="single" w:sz="2" w:space="0" w:color="000000"/>
              <w:right w:val="single" w:sz="2" w:space="0" w:color="000000"/>
            </w:tcBorders>
          </w:tcPr>
          <w:p>
            <w:pPr>
              <w:pStyle w:val="Tabelleninhalt"/>
              <w:widowControl w:val="false"/>
              <w:bidi w:val="0"/>
              <w:jc w:val="left"/>
              <w:rPr>
                <w:rFonts w:ascii="Arial" w:hAnsi="Arial"/>
                <w:sz w:val="20"/>
                <w:szCs w:val="20"/>
              </w:rPr>
            </w:pPr>
            <w:r>
              <w:rPr>
                <w:rFonts w:ascii="Arial" w:hAnsi="Arial"/>
                <w:b/>
                <w:bCs/>
                <w:sz w:val="20"/>
                <w:szCs w:val="20"/>
              </w:rPr>
              <w:t>Schutz des Bürgers</w:t>
            </w:r>
            <w:r>
              <w:rPr>
                <w:rFonts w:ascii="Arial" w:hAnsi="Arial"/>
                <w:sz w:val="20"/>
                <w:szCs w:val="20"/>
              </w:rPr>
              <w:t xml:space="preserve"> (nicht der Daten!) vor einer Beeinträchtigungen seiner Privatsphäre durch unbefugte Erhebung, Speicherung und Weitergabe personenbezogener oder personenbeziehbarer Daten. Indirekt wird auch die Datensicherheit verbessert!</w:t>
            </w:r>
          </w:p>
        </w:tc>
      </w:tr>
      <w:tr>
        <w:trPr/>
        <w:tc>
          <w:tcPr>
            <w:tcW w:w="2839" w:type="dxa"/>
            <w:tcBorders>
              <w:left w:val="single" w:sz="2" w:space="0" w:color="000000"/>
              <w:bottom w:val="single" w:sz="2" w:space="0" w:color="000000"/>
            </w:tcBorders>
          </w:tcPr>
          <w:p>
            <w:pPr>
              <w:pStyle w:val="Tabelleninhalt"/>
              <w:widowControl w:val="false"/>
              <w:bidi w:val="0"/>
              <w:jc w:val="left"/>
              <w:rPr>
                <w:rFonts w:ascii="Arial" w:hAnsi="Arial"/>
                <w:sz w:val="20"/>
                <w:szCs w:val="20"/>
              </w:rPr>
            </w:pPr>
            <w:r>
              <w:rPr>
                <w:rFonts w:ascii="Arial" w:hAnsi="Arial"/>
                <w:sz w:val="20"/>
                <w:szCs w:val="20"/>
              </w:rPr>
              <w:t>Verantwortlicher</w:t>
            </w:r>
          </w:p>
        </w:tc>
        <w:tc>
          <w:tcPr>
            <w:tcW w:w="12185" w:type="dxa"/>
            <w:gridSpan w:val="4"/>
            <w:tcBorders>
              <w:left w:val="single" w:sz="2" w:space="0" w:color="000000"/>
              <w:bottom w:val="single" w:sz="2" w:space="0" w:color="000000"/>
              <w:right w:val="single" w:sz="2" w:space="0" w:color="000000"/>
            </w:tcBorders>
          </w:tcPr>
          <w:p>
            <w:pPr>
              <w:pStyle w:val="Tabelleninhalt"/>
              <w:widowControl w:val="false"/>
              <w:bidi w:val="0"/>
              <w:jc w:val="left"/>
              <w:rPr>
                <w:rFonts w:ascii="Arial" w:hAnsi="Arial"/>
                <w:sz w:val="20"/>
                <w:szCs w:val="20"/>
              </w:rPr>
            </w:pPr>
            <w:r>
              <w:rPr>
                <w:rFonts w:ascii="Arial" w:hAnsi="Arial"/>
                <w:sz w:val="20"/>
                <w:szCs w:val="20"/>
              </w:rPr>
              <w:t xml:space="preserve">Stelle die </w:t>
            </w:r>
            <w:r>
              <w:rPr>
                <w:rFonts w:ascii="Arial" w:hAnsi="Arial"/>
                <w:sz w:val="20"/>
                <w:szCs w:val="20"/>
              </w:rPr>
              <w:t>e</w:t>
            </w:r>
            <w:r>
              <w:rPr>
                <w:rFonts w:ascii="Arial" w:hAnsi="Arial"/>
                <w:sz w:val="20"/>
                <w:szCs w:val="20"/>
              </w:rPr>
              <w:t xml:space="preserve">ntscheidet, ob ein Verfahren zur Datenverarbeitung eingesetzt wird. Im Regelfall die Schule (bzw. der Schulleiter). </w:t>
            </w:r>
          </w:p>
          <w:p>
            <w:pPr>
              <w:pStyle w:val="Tabelleninhalt"/>
              <w:widowControl w:val="false"/>
              <w:bidi w:val="0"/>
              <w:jc w:val="left"/>
              <w:rPr>
                <w:rFonts w:ascii="Arial" w:hAnsi="Arial"/>
                <w:sz w:val="20"/>
                <w:szCs w:val="20"/>
              </w:rPr>
            </w:pPr>
            <w:r>
              <w:rPr>
                <w:rFonts w:ascii="Arial" w:hAnsi="Arial"/>
                <w:sz w:val="20"/>
                <w:szCs w:val="20"/>
              </w:rPr>
              <w:t>Sonderfall: Für Dienste welche die Schule selbst (mit) bereitstellt, z.B. das Schulnetzwerk, kann es auftreten, dass sie ggf. gemeinsam mit dem Sachaufwandsträger gleichzeitig auch als Verarbeiter wirkt. In diesem Fall muss sie bei der Datensicherheit aktiv mitwirken.</w:t>
            </w:r>
          </w:p>
        </w:tc>
      </w:tr>
      <w:tr>
        <w:trPr/>
        <w:tc>
          <w:tcPr>
            <w:tcW w:w="2839" w:type="dxa"/>
            <w:tcBorders>
              <w:left w:val="single" w:sz="2" w:space="0" w:color="000000"/>
              <w:bottom w:val="single" w:sz="2" w:space="0" w:color="000000"/>
            </w:tcBorders>
          </w:tcPr>
          <w:p>
            <w:pPr>
              <w:pStyle w:val="Tabelleninhalt"/>
              <w:widowControl w:val="false"/>
              <w:bidi w:val="0"/>
              <w:jc w:val="left"/>
              <w:rPr>
                <w:rFonts w:ascii="Arial" w:hAnsi="Arial"/>
                <w:sz w:val="20"/>
                <w:szCs w:val="20"/>
              </w:rPr>
            </w:pPr>
            <w:r>
              <w:rPr>
                <w:rFonts w:ascii="Arial" w:hAnsi="Arial"/>
                <w:sz w:val="20"/>
                <w:szCs w:val="20"/>
              </w:rPr>
              <w:t>(Daten)Verarbeiter</w:t>
            </w:r>
          </w:p>
        </w:tc>
        <w:tc>
          <w:tcPr>
            <w:tcW w:w="12185" w:type="dxa"/>
            <w:gridSpan w:val="4"/>
            <w:tcBorders>
              <w:left w:val="single" w:sz="2" w:space="0" w:color="000000"/>
              <w:bottom w:val="single" w:sz="2" w:space="0" w:color="000000"/>
              <w:right w:val="single" w:sz="2" w:space="0" w:color="000000"/>
            </w:tcBorders>
          </w:tcPr>
          <w:p>
            <w:pPr>
              <w:pStyle w:val="Tabelleninhalt"/>
              <w:widowControl w:val="false"/>
              <w:bidi w:val="0"/>
              <w:jc w:val="left"/>
              <w:rPr>
                <w:rFonts w:ascii="Arial" w:hAnsi="Arial"/>
                <w:sz w:val="20"/>
                <w:szCs w:val="20"/>
              </w:rPr>
            </w:pPr>
            <w:r>
              <w:rPr>
                <w:rFonts w:ascii="Arial" w:hAnsi="Arial"/>
                <w:sz w:val="20"/>
                <w:szCs w:val="20"/>
              </w:rPr>
              <w:t>Vom Verantwortlichen (hier der Schule als Auftraggeber AG) mit der Datenverarbeitung beauftragter Verarbeiter (hier Anbieter bzw. Betreiber eines online-Dienstes bzw. einer App hier als Auftragnehmer AN).</w:t>
            </w:r>
          </w:p>
        </w:tc>
      </w:tr>
      <w:tr>
        <w:trPr/>
        <w:tc>
          <w:tcPr>
            <w:tcW w:w="2839" w:type="dxa"/>
            <w:tcBorders>
              <w:left w:val="single" w:sz="2" w:space="0" w:color="000000"/>
              <w:bottom w:val="single" w:sz="2" w:space="0" w:color="000000"/>
            </w:tcBorders>
          </w:tcPr>
          <w:p>
            <w:pPr>
              <w:pStyle w:val="Tabelleninhalt"/>
              <w:widowControl w:val="false"/>
              <w:bidi w:val="0"/>
              <w:jc w:val="left"/>
              <w:rPr>
                <w:rFonts w:ascii="Arial" w:hAnsi="Arial"/>
                <w:sz w:val="20"/>
                <w:szCs w:val="20"/>
              </w:rPr>
            </w:pPr>
            <w:r>
              <w:rPr>
                <w:rFonts w:ascii="Arial" w:hAnsi="Arial"/>
                <w:sz w:val="20"/>
                <w:szCs w:val="20"/>
              </w:rPr>
              <w:t>Datenschutzkonzept</w:t>
            </w:r>
          </w:p>
          <w:p>
            <w:pPr>
              <w:pStyle w:val="Tabelleninhalt"/>
              <w:widowControl w:val="false"/>
              <w:bidi w:val="0"/>
              <w:jc w:val="left"/>
              <w:rPr>
                <w:rFonts w:ascii="Arial" w:hAnsi="Arial"/>
                <w:sz w:val="20"/>
                <w:szCs w:val="20"/>
              </w:rPr>
            </w:pPr>
            <w:r>
              <w:rPr>
                <w:rFonts w:ascii="Arial" w:hAnsi="Arial"/>
                <w:sz w:val="20"/>
                <w:szCs w:val="20"/>
              </w:rPr>
            </w:r>
          </w:p>
        </w:tc>
        <w:tc>
          <w:tcPr>
            <w:tcW w:w="9259" w:type="dxa"/>
            <w:tcBorders>
              <w:left w:val="single" w:sz="2" w:space="0" w:color="000000"/>
              <w:bottom w:val="single" w:sz="2" w:space="0" w:color="000000"/>
            </w:tcBorders>
          </w:tcPr>
          <w:p>
            <w:pPr>
              <w:pStyle w:val="Tabelleninhalt"/>
              <w:widowControl w:val="false"/>
              <w:bidi w:val="0"/>
              <w:jc w:val="left"/>
              <w:rPr>
                <w:rFonts w:ascii="Arial" w:hAnsi="Arial"/>
                <w:sz w:val="20"/>
                <w:szCs w:val="20"/>
              </w:rPr>
            </w:pPr>
            <w:r>
              <w:rPr>
                <w:rFonts w:ascii="Arial" w:hAnsi="Arial"/>
                <w:sz w:val="20"/>
                <w:szCs w:val="20"/>
              </w:rPr>
              <w:t>Das Datenschutzkonzept ist sowohl ein Dokument als auch ein regelmäßiger Prozess, bei dem Verarbeiter datenschutzrechtliche Risiken prüfen, bewerten und dokumentieren</w:t>
            </w:r>
          </w:p>
        </w:tc>
        <w:tc>
          <w:tcPr>
            <w:tcW w:w="1014" w:type="dxa"/>
            <w:tcBorders>
              <w:left w:val="single" w:sz="2" w:space="0" w:color="000000"/>
              <w:bottom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t>☒</w:t>
            </w:r>
          </w:p>
        </w:tc>
        <w:tc>
          <w:tcPr>
            <w:tcW w:w="1013" w:type="dxa"/>
            <w:tcBorders>
              <w:left w:val="single" w:sz="2" w:space="0" w:color="000000"/>
              <w:bottom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r>
          </w:p>
        </w:tc>
        <w:tc>
          <w:tcPr>
            <w:tcW w:w="899" w:type="dxa"/>
            <w:tcBorders>
              <w:left w:val="single" w:sz="2" w:space="0" w:color="000000"/>
              <w:bottom w:val="single" w:sz="2" w:space="0" w:color="000000"/>
              <w:right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r>
          </w:p>
        </w:tc>
      </w:tr>
      <w:tr>
        <w:trPr/>
        <w:tc>
          <w:tcPr>
            <w:tcW w:w="2839" w:type="dxa"/>
            <w:tcBorders>
              <w:left w:val="single" w:sz="2" w:space="0" w:color="000000"/>
              <w:bottom w:val="single" w:sz="2" w:space="0" w:color="000000"/>
            </w:tcBorders>
          </w:tcPr>
          <w:p>
            <w:pPr>
              <w:pStyle w:val="Tabelleninhalt"/>
              <w:widowControl w:val="false"/>
              <w:bidi w:val="0"/>
              <w:jc w:val="left"/>
              <w:rPr>
                <w:rFonts w:ascii="Arial" w:hAnsi="Arial"/>
                <w:sz w:val="20"/>
                <w:szCs w:val="20"/>
              </w:rPr>
            </w:pPr>
            <w:r>
              <w:rPr>
                <w:rFonts w:ascii="Arial" w:hAnsi="Arial"/>
                <w:sz w:val="20"/>
                <w:szCs w:val="20"/>
              </w:rPr>
              <w:t>Verarbeitungsverzeichnis</w:t>
            </w:r>
          </w:p>
          <w:p>
            <w:pPr>
              <w:pStyle w:val="Tabelleninhalt"/>
              <w:widowControl w:val="false"/>
              <w:bidi w:val="0"/>
              <w:jc w:val="left"/>
              <w:rPr>
                <w:rFonts w:ascii="Arial" w:hAnsi="Arial"/>
                <w:sz w:val="20"/>
                <w:szCs w:val="20"/>
              </w:rPr>
            </w:pPr>
            <w:r>
              <w:rPr>
                <w:rFonts w:ascii="Arial" w:hAnsi="Arial"/>
                <w:sz w:val="20"/>
                <w:szCs w:val="20"/>
              </w:rPr>
              <w:t>(Verzeichnis der Verarbeitungstätigkeiten VVT)</w:t>
            </w:r>
          </w:p>
        </w:tc>
        <w:tc>
          <w:tcPr>
            <w:tcW w:w="9259" w:type="dxa"/>
            <w:tcBorders>
              <w:left w:val="single" w:sz="2" w:space="0" w:color="000000"/>
              <w:bottom w:val="single" w:sz="2" w:space="0" w:color="000000"/>
            </w:tcBorders>
          </w:tcPr>
          <w:p>
            <w:pPr>
              <w:pStyle w:val="Tabelleninhalt"/>
              <w:widowControl w:val="false"/>
              <w:bidi w:val="0"/>
              <w:jc w:val="left"/>
              <w:rPr>
                <w:rFonts w:ascii="Arial" w:hAnsi="Arial"/>
                <w:sz w:val="20"/>
                <w:szCs w:val="20"/>
              </w:rPr>
            </w:pPr>
            <w:r>
              <w:rPr>
                <w:rFonts w:ascii="Arial" w:hAnsi="Arial"/>
                <w:sz w:val="20"/>
                <w:szCs w:val="20"/>
              </w:rPr>
              <w:t xml:space="preserve">Jede verantwortliche Stelle muss ein Verzeichnis („Ordner“) mit Beschreibungen der Verarbeitungstätigkeit pflegen, für alle Verfahren die Mitarbeiter oder „Kunden“ der jeweiligen Einrichtung betreffen. Im Falle von Schulen also für alle genutzten externen Apps und sonstigen online-Dienste. Bei den ByCS-Anwendungen als Sonderfall sind diese direkt in der Anwendungsverwaltung hinterlegt. </w:t>
            </w:r>
          </w:p>
        </w:tc>
        <w:tc>
          <w:tcPr>
            <w:tcW w:w="1014" w:type="dxa"/>
            <w:tcBorders>
              <w:left w:val="single" w:sz="2" w:space="0" w:color="000000"/>
              <w:bottom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r>
          </w:p>
        </w:tc>
        <w:tc>
          <w:tcPr>
            <w:tcW w:w="1013" w:type="dxa"/>
            <w:tcBorders>
              <w:left w:val="single" w:sz="2" w:space="0" w:color="000000"/>
              <w:bottom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t xml:space="preserve">☒ </w:t>
            </w:r>
          </w:p>
          <w:p>
            <w:pPr>
              <w:pStyle w:val="Tabelleninhalt"/>
              <w:widowControl w:val="false"/>
              <w:bidi w:val="0"/>
              <w:jc w:val="center"/>
              <w:rPr>
                <w:rFonts w:ascii="Arial" w:hAnsi="Arial"/>
                <w:sz w:val="16"/>
                <w:szCs w:val="16"/>
              </w:rPr>
            </w:pPr>
            <w:r>
              <w:rPr>
                <w:rFonts w:ascii="Arial" w:hAnsi="Arial"/>
                <w:sz w:val="16"/>
                <w:szCs w:val="16"/>
              </w:rPr>
              <w:t>(von der Schule zu führen)</w:t>
            </w:r>
          </w:p>
        </w:tc>
        <w:tc>
          <w:tcPr>
            <w:tcW w:w="899" w:type="dxa"/>
            <w:tcBorders>
              <w:left w:val="single" w:sz="2" w:space="0" w:color="000000"/>
              <w:bottom w:val="single" w:sz="2" w:space="0" w:color="000000"/>
              <w:right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t xml:space="preserve">☒ </w:t>
            </w:r>
            <w:r>
              <w:rPr>
                <w:rFonts w:ascii="Arial" w:hAnsi="Arial"/>
                <w:sz w:val="16"/>
                <w:szCs w:val="16"/>
              </w:rPr>
              <w:t>(Kenntnis)</w:t>
            </w:r>
          </w:p>
        </w:tc>
      </w:tr>
      <w:tr>
        <w:trPr/>
        <w:tc>
          <w:tcPr>
            <w:tcW w:w="2839" w:type="dxa"/>
            <w:tcBorders>
              <w:left w:val="single" w:sz="2" w:space="0" w:color="000000"/>
              <w:bottom w:val="single" w:sz="2" w:space="0" w:color="000000"/>
            </w:tcBorders>
          </w:tcPr>
          <w:p>
            <w:pPr>
              <w:pStyle w:val="Tabelleninhalt"/>
              <w:widowControl w:val="false"/>
              <w:bidi w:val="0"/>
              <w:jc w:val="left"/>
              <w:rPr>
                <w:rFonts w:ascii="Arial" w:hAnsi="Arial"/>
                <w:sz w:val="20"/>
                <w:szCs w:val="20"/>
              </w:rPr>
            </w:pPr>
            <w:bookmarkStart w:id="0" w:name="__DdeLink__320_171690202"/>
            <w:r>
              <w:rPr>
                <w:rFonts w:ascii="Arial" w:hAnsi="Arial"/>
                <w:sz w:val="20"/>
                <w:szCs w:val="20"/>
              </w:rPr>
              <w:t>Beschreibung der Verarbeitungstätigkeit</w:t>
            </w:r>
            <w:bookmarkEnd w:id="0"/>
          </w:p>
        </w:tc>
        <w:tc>
          <w:tcPr>
            <w:tcW w:w="9259" w:type="dxa"/>
            <w:tcBorders>
              <w:left w:val="single" w:sz="2" w:space="0" w:color="000000"/>
              <w:bottom w:val="single" w:sz="2" w:space="0" w:color="000000"/>
            </w:tcBorders>
          </w:tcPr>
          <w:p>
            <w:pPr>
              <w:pStyle w:val="Tabelleninhalt"/>
              <w:widowControl w:val="false"/>
              <w:bidi w:val="0"/>
              <w:jc w:val="left"/>
              <w:rPr>
                <w:rFonts w:ascii="Arial" w:hAnsi="Arial"/>
                <w:sz w:val="20"/>
                <w:szCs w:val="20"/>
              </w:rPr>
            </w:pPr>
            <w:r>
              <w:rPr>
                <w:rFonts w:ascii="Arial" w:hAnsi="Arial"/>
                <w:sz w:val="20"/>
                <w:szCs w:val="20"/>
              </w:rPr>
              <w:t xml:space="preserve">Umfasst alle Verarbeitungsschritte, die einem gemeinsamen Zweck dienen. Typischerweise gegliedert pro App bzw. online-Service. Immer enthalten sind </w:t>
            </w:r>
          </w:p>
          <w:p>
            <w:pPr>
              <w:pStyle w:val="Tabelleninhalt"/>
              <w:widowControl w:val="false"/>
              <w:bidi w:val="0"/>
              <w:jc w:val="left"/>
              <w:rPr>
                <w:rFonts w:ascii="Arial" w:hAnsi="Arial"/>
                <w:sz w:val="20"/>
                <w:szCs w:val="20"/>
              </w:rPr>
            </w:pPr>
            <w:r>
              <w:rPr>
                <w:rFonts w:ascii="Arial" w:hAnsi="Arial"/>
                <w:sz w:val="20"/>
                <w:szCs w:val="20"/>
              </w:rPr>
              <w:t xml:space="preserve">(1) Zweck, (2) Art und Umfang der verarbeiteten Daten, (3) Empfänger und (4) Löschfristen. </w:t>
            </w:r>
          </w:p>
          <w:p>
            <w:pPr>
              <w:pStyle w:val="Tabelleninhalt"/>
              <w:widowControl w:val="false"/>
              <w:bidi w:val="0"/>
              <w:jc w:val="left"/>
              <w:rPr>
                <w:rFonts w:ascii="Arial" w:hAnsi="Arial"/>
                <w:sz w:val="20"/>
                <w:szCs w:val="20"/>
              </w:rPr>
            </w:pPr>
            <w:r>
              <w:rPr>
                <w:rFonts w:ascii="Arial" w:hAnsi="Arial"/>
                <w:sz w:val="20"/>
                <w:szCs w:val="20"/>
              </w:rPr>
              <w:t>Hierzu gibt es auch Formular-Vorlagen von den Landesdatenschutzbeauftragten. Die Beschreibungen der Verarbeitungstätigkeiten sind im Verarbeitungsverzeichnis (s.o.) zu führen. Auf Nutzeranfrage muss der Verantwortliche auch Endnutzern Einblick in die Beschreibung der Verarbeitungstätigkeit gewähren, im Gegensatz zur Datenschutzerklärung ist diese aber nicht zwingend öffentlich.</w:t>
            </w:r>
          </w:p>
        </w:tc>
        <w:tc>
          <w:tcPr>
            <w:tcW w:w="1014" w:type="dxa"/>
            <w:tcBorders>
              <w:left w:val="single" w:sz="2" w:space="0" w:color="000000"/>
              <w:bottom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t>☒</w:t>
            </w:r>
          </w:p>
          <w:p>
            <w:pPr>
              <w:pStyle w:val="Tabelleninhalt"/>
              <w:widowControl w:val="false"/>
              <w:bidi w:val="0"/>
              <w:jc w:val="center"/>
              <w:rPr>
                <w:rFonts w:ascii="Arial" w:hAnsi="Arial"/>
                <w:sz w:val="16"/>
                <w:szCs w:val="16"/>
              </w:rPr>
            </w:pPr>
            <w:r>
              <w:rPr>
                <w:rFonts w:ascii="Arial" w:hAnsi="Arial"/>
                <w:sz w:val="16"/>
                <w:szCs w:val="16"/>
              </w:rPr>
              <w:t>(Zulieferung)</w:t>
            </w:r>
          </w:p>
        </w:tc>
        <w:tc>
          <w:tcPr>
            <w:tcW w:w="1013" w:type="dxa"/>
            <w:tcBorders>
              <w:left w:val="single" w:sz="2" w:space="0" w:color="000000"/>
              <w:bottom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t xml:space="preserve">☒ </w:t>
            </w:r>
          </w:p>
          <w:p>
            <w:pPr>
              <w:pStyle w:val="Tabelleninhalt"/>
              <w:widowControl w:val="false"/>
              <w:bidi w:val="0"/>
              <w:jc w:val="center"/>
              <w:rPr>
                <w:rFonts w:ascii="Arial" w:hAnsi="Arial"/>
                <w:sz w:val="16"/>
                <w:szCs w:val="16"/>
              </w:rPr>
            </w:pPr>
            <w:r>
              <w:rPr>
                <w:rFonts w:ascii="Arial" w:hAnsi="Arial"/>
                <w:sz w:val="16"/>
                <w:szCs w:val="16"/>
              </w:rPr>
              <w:t>(Teil der AVV)</w:t>
            </w:r>
          </w:p>
        </w:tc>
        <w:tc>
          <w:tcPr>
            <w:tcW w:w="899" w:type="dxa"/>
            <w:tcBorders>
              <w:left w:val="single" w:sz="2" w:space="0" w:color="000000"/>
              <w:bottom w:val="single" w:sz="2" w:space="0" w:color="000000"/>
              <w:right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r>
          </w:p>
        </w:tc>
      </w:tr>
      <w:tr>
        <w:trPr/>
        <w:tc>
          <w:tcPr>
            <w:tcW w:w="2839" w:type="dxa"/>
            <w:tcBorders>
              <w:left w:val="single" w:sz="2" w:space="0" w:color="000000"/>
              <w:bottom w:val="single" w:sz="2" w:space="0" w:color="000000"/>
            </w:tcBorders>
          </w:tcPr>
          <w:p>
            <w:pPr>
              <w:pStyle w:val="Tabelleninhalt"/>
              <w:widowControl w:val="false"/>
              <w:bidi w:val="0"/>
              <w:jc w:val="left"/>
              <w:rPr>
                <w:rFonts w:ascii="Arial" w:hAnsi="Arial"/>
                <w:sz w:val="20"/>
                <w:szCs w:val="20"/>
              </w:rPr>
            </w:pPr>
            <w:r>
              <w:rPr>
                <w:rFonts w:ascii="Arial" w:hAnsi="Arial"/>
                <w:sz w:val="20"/>
                <w:szCs w:val="20"/>
              </w:rPr>
              <w:t>Auftragsverarbeitungs-Vertrag (AVV)</w:t>
            </w:r>
          </w:p>
        </w:tc>
        <w:tc>
          <w:tcPr>
            <w:tcW w:w="9259" w:type="dxa"/>
            <w:tcBorders>
              <w:left w:val="single" w:sz="2" w:space="0" w:color="000000"/>
              <w:bottom w:val="single" w:sz="2" w:space="0" w:color="000000"/>
            </w:tcBorders>
          </w:tcPr>
          <w:p>
            <w:pPr>
              <w:pStyle w:val="Tabelleninhalt"/>
              <w:widowControl w:val="false"/>
              <w:bidi w:val="0"/>
              <w:jc w:val="left"/>
              <w:rPr>
                <w:rFonts w:ascii="Arial" w:hAnsi="Arial"/>
                <w:sz w:val="20"/>
                <w:szCs w:val="20"/>
              </w:rPr>
            </w:pPr>
            <w:r>
              <w:rPr>
                <w:rFonts w:ascii="Arial" w:hAnsi="Arial"/>
                <w:sz w:val="20"/>
                <w:szCs w:val="20"/>
              </w:rPr>
              <w:t>Der Vertrag zur Auftragsverarbeitung (früher „ADV“ Auftragsdatenverarbeitung) wird zwischen dem Verantwortlichen und dem Anbieter geschlossen. Er regelt die Rechte und Pflichten bezüglich der Verarbeitung personenbezogener Daten. Diese Verarbeitung wird zunächst dem Verantwortlichen durch die Beschreibung der Verarbeitungstätigkeit transparent gemacht. Der erste Auftragsverarbeiter in einer AVV-Kette kann sich weiterer Unterauftragsverarbeiter bedienen. Dies muss jedoch transparent sein.</w:t>
            </w:r>
          </w:p>
          <w:p>
            <w:pPr>
              <w:pStyle w:val="Tabelleninhalt"/>
              <w:widowControl w:val="false"/>
              <w:bidi w:val="0"/>
              <w:jc w:val="left"/>
              <w:rPr>
                <w:rFonts w:ascii="Arial" w:hAnsi="Arial"/>
                <w:sz w:val="20"/>
                <w:szCs w:val="20"/>
              </w:rPr>
            </w:pPr>
            <w:r>
              <w:rPr>
                <w:rFonts w:ascii="Arial" w:hAnsi="Arial"/>
                <w:sz w:val="20"/>
                <w:szCs w:val="20"/>
              </w:rPr>
              <w:t>Sonderfall: Falls Daten ausschließlich zur Bereitstellung eines Dienstes vom Anbieter verarbeitet und nicht an Dritte weitergegeben werden, kann es sein, dass eine Verarbeitung in eigener Verantwortung vorliegt. In diesem Sonderfall (z.B. Zugriffe durch SuS auf öffentliche Playout-Server der ÖR-Mediatheken) wäre keine AVV erforderlich. Faustregel: Sobald personalisierte Nutzer-Accounts - egal welcher Benutzergruppe - vorliegen, ist immer eine AVV erforderlich.</w:t>
            </w:r>
          </w:p>
          <w:p>
            <w:pPr>
              <w:pStyle w:val="Tabelleninhalt"/>
              <w:widowControl w:val="false"/>
              <w:bidi w:val="0"/>
              <w:jc w:val="left"/>
              <w:rPr>
                <w:rFonts w:ascii="Arial" w:hAnsi="Arial"/>
                <w:sz w:val="20"/>
                <w:szCs w:val="20"/>
              </w:rPr>
            </w:pPr>
            <w:r>
              <w:rPr>
                <w:rFonts w:ascii="Arial" w:hAnsi="Arial"/>
                <w:sz w:val="20"/>
                <w:szCs w:val="20"/>
              </w:rPr>
              <w:t>Problem: Wenn nicht die Schule selbst sondern der Sachaufwandsträger eine App/einen Service einkauft/beschafft, ist die Schule zunächst nicht direkter Vertragspartner; hier wäre eine gemeinsame Verantwortlichkeit mit dem Sachaufwandsträger vorstellbar oder ein separater Abschluss der AVV zwischen der Schule und dem Anbieter.</w:t>
            </w:r>
          </w:p>
        </w:tc>
        <w:tc>
          <w:tcPr>
            <w:tcW w:w="1014" w:type="dxa"/>
            <w:tcBorders>
              <w:left w:val="single" w:sz="2" w:space="0" w:color="000000"/>
              <w:bottom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t>☒</w:t>
            </w:r>
          </w:p>
        </w:tc>
        <w:tc>
          <w:tcPr>
            <w:tcW w:w="1013" w:type="dxa"/>
            <w:tcBorders>
              <w:left w:val="single" w:sz="2" w:space="0" w:color="000000"/>
              <w:bottom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t>☒</w:t>
            </w:r>
          </w:p>
        </w:tc>
        <w:tc>
          <w:tcPr>
            <w:tcW w:w="899" w:type="dxa"/>
            <w:tcBorders>
              <w:left w:val="single" w:sz="2" w:space="0" w:color="000000"/>
              <w:bottom w:val="single" w:sz="2" w:space="0" w:color="000000"/>
              <w:right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r>
          </w:p>
        </w:tc>
      </w:tr>
      <w:tr>
        <w:trPr/>
        <w:tc>
          <w:tcPr>
            <w:tcW w:w="2839" w:type="dxa"/>
            <w:tcBorders>
              <w:left w:val="single" w:sz="2" w:space="0" w:color="000000"/>
              <w:bottom w:val="single" w:sz="2" w:space="0" w:color="000000"/>
            </w:tcBorders>
          </w:tcPr>
          <w:p>
            <w:pPr>
              <w:pStyle w:val="Tabelleninhalt"/>
              <w:widowControl w:val="false"/>
              <w:bidi w:val="0"/>
              <w:jc w:val="left"/>
              <w:rPr>
                <w:rFonts w:ascii="Arial" w:hAnsi="Arial"/>
                <w:sz w:val="20"/>
                <w:szCs w:val="20"/>
              </w:rPr>
            </w:pPr>
            <w:r>
              <w:rPr>
                <w:rFonts w:ascii="Arial" w:hAnsi="Arial"/>
                <w:sz w:val="20"/>
                <w:szCs w:val="20"/>
              </w:rPr>
              <w:t>Datenschutzfolgen-abschätzung (DSFA)</w:t>
            </w:r>
          </w:p>
        </w:tc>
        <w:tc>
          <w:tcPr>
            <w:tcW w:w="9259" w:type="dxa"/>
            <w:tcBorders>
              <w:left w:val="single" w:sz="2" w:space="0" w:color="000000"/>
              <w:bottom w:val="single" w:sz="2" w:space="0" w:color="000000"/>
            </w:tcBorders>
          </w:tcPr>
          <w:p>
            <w:pPr>
              <w:pStyle w:val="Tabelleninhalt"/>
              <w:widowControl w:val="false"/>
              <w:bidi w:val="0"/>
              <w:jc w:val="left"/>
              <w:rPr>
                <w:rFonts w:ascii="Arial" w:hAnsi="Arial"/>
                <w:sz w:val="20"/>
                <w:szCs w:val="20"/>
              </w:rPr>
            </w:pPr>
            <w:r>
              <w:rPr>
                <w:rFonts w:ascii="Arial" w:hAnsi="Arial"/>
                <w:sz w:val="20"/>
                <w:szCs w:val="20"/>
              </w:rPr>
              <w:t>Prozess, bei dem zunächst in einer (1) Schwellenwertanalyse entschieden wird, ob eine vollständige DSFA erforderlich ist (Kriterien z.B. Verarbeitung sensibler Daten nach Art. 9 DSGVO wie Religionszugehörigkeit oder Gesundheitsdaten, oder aber sehr viele, besonders schutzwürdige Betroffene, oder fehlende Freiwilligkeit der Verarbeitung). Wenn eine volle DSFA erforderlich ist, folgt eine (2) Risikoanalyse mit verschiedenen Szenarien und der Abschätzung der persönlichen Folgen für die Nutzenden im Falle von Datenschutzverstößen. Um diese Risiken zu minimieren, ergeben sich dann die technisch-organisatorischen Maßnahmen (TOMs) s.o. aus dem Bereich der Datensicherheit.</w:t>
            </w:r>
          </w:p>
        </w:tc>
        <w:tc>
          <w:tcPr>
            <w:tcW w:w="1014" w:type="dxa"/>
            <w:tcBorders>
              <w:left w:val="single" w:sz="2" w:space="0" w:color="000000"/>
              <w:bottom w:val="single" w:sz="2" w:space="0" w:color="000000"/>
            </w:tcBorders>
          </w:tcPr>
          <w:p>
            <w:pPr>
              <w:pStyle w:val="Tabelleninhalt"/>
              <w:widowControl w:val="false"/>
              <w:bidi w:val="0"/>
              <w:jc w:val="center"/>
              <w:rPr>
                <w:rFonts w:ascii="Arial" w:hAnsi="Arial"/>
                <w:sz w:val="20"/>
                <w:szCs w:val="20"/>
              </w:rPr>
            </w:pPr>
            <w:bookmarkStart w:id="1" w:name="__DdeLink__847_2434038456"/>
            <w:r>
              <w:rPr>
                <w:rFonts w:ascii="Arial" w:hAnsi="Arial"/>
                <w:sz w:val="20"/>
                <w:szCs w:val="20"/>
              </w:rPr>
              <w:t>☒</w:t>
            </w:r>
            <w:bookmarkEnd w:id="1"/>
          </w:p>
          <w:p>
            <w:pPr>
              <w:pStyle w:val="Tabelleninhalt"/>
              <w:widowControl w:val="false"/>
              <w:bidi w:val="0"/>
              <w:jc w:val="center"/>
              <w:rPr>
                <w:rFonts w:ascii="Arial" w:hAnsi="Arial"/>
                <w:sz w:val="16"/>
                <w:szCs w:val="16"/>
              </w:rPr>
            </w:pPr>
            <w:r>
              <w:rPr>
                <w:rFonts w:ascii="Arial" w:hAnsi="Arial"/>
                <w:sz w:val="16"/>
                <w:szCs w:val="16"/>
              </w:rPr>
              <w:t>(Mitwirkung)</w:t>
            </w:r>
          </w:p>
        </w:tc>
        <w:tc>
          <w:tcPr>
            <w:tcW w:w="1013" w:type="dxa"/>
            <w:tcBorders>
              <w:left w:val="single" w:sz="2" w:space="0" w:color="000000"/>
              <w:bottom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t xml:space="preserve">☒ </w:t>
            </w:r>
          </w:p>
          <w:p>
            <w:pPr>
              <w:pStyle w:val="Tabelleninhalt"/>
              <w:widowControl w:val="false"/>
              <w:bidi w:val="0"/>
              <w:jc w:val="center"/>
              <w:rPr>
                <w:rFonts w:ascii="Arial" w:hAnsi="Arial"/>
                <w:sz w:val="16"/>
                <w:szCs w:val="16"/>
              </w:rPr>
            </w:pPr>
            <w:r>
              <w:rPr>
                <w:rFonts w:ascii="Arial" w:hAnsi="Arial"/>
                <w:sz w:val="16"/>
                <w:szCs w:val="16"/>
              </w:rPr>
              <w:t>(Teil der AVV)</w:t>
            </w:r>
          </w:p>
        </w:tc>
        <w:tc>
          <w:tcPr>
            <w:tcW w:w="899" w:type="dxa"/>
            <w:tcBorders>
              <w:left w:val="single" w:sz="2" w:space="0" w:color="000000"/>
              <w:bottom w:val="single" w:sz="2" w:space="0" w:color="000000"/>
              <w:right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r>
          </w:p>
        </w:tc>
      </w:tr>
      <w:tr>
        <w:trPr/>
        <w:tc>
          <w:tcPr>
            <w:tcW w:w="2839" w:type="dxa"/>
            <w:tcBorders>
              <w:left w:val="single" w:sz="2" w:space="0" w:color="000000"/>
              <w:bottom w:val="single" w:sz="2" w:space="0" w:color="000000"/>
            </w:tcBorders>
          </w:tcPr>
          <w:p>
            <w:pPr>
              <w:pStyle w:val="Tabelleninhalt"/>
              <w:widowControl w:val="false"/>
              <w:bidi w:val="0"/>
              <w:jc w:val="left"/>
              <w:rPr>
                <w:rFonts w:ascii="Arial" w:hAnsi="Arial"/>
                <w:sz w:val="20"/>
                <w:szCs w:val="20"/>
              </w:rPr>
            </w:pPr>
            <w:r>
              <w:rPr>
                <w:rFonts w:ascii="Arial" w:hAnsi="Arial"/>
                <w:sz w:val="20"/>
                <w:szCs w:val="20"/>
              </w:rPr>
              <w:t>Datenschutzgrundverordnung (DSGVO)</w:t>
            </w:r>
          </w:p>
        </w:tc>
        <w:tc>
          <w:tcPr>
            <w:tcW w:w="9259" w:type="dxa"/>
            <w:tcBorders>
              <w:left w:val="single" w:sz="2" w:space="0" w:color="000000"/>
              <w:bottom w:val="single" w:sz="2" w:space="0" w:color="000000"/>
            </w:tcBorders>
          </w:tcPr>
          <w:p>
            <w:pPr>
              <w:pStyle w:val="Tabelleninhalt"/>
              <w:widowControl w:val="false"/>
              <w:bidi w:val="0"/>
              <w:jc w:val="left"/>
              <w:rPr>
                <w:rFonts w:ascii="Arial" w:hAnsi="Arial"/>
                <w:sz w:val="20"/>
                <w:szCs w:val="20"/>
              </w:rPr>
            </w:pPr>
            <w:r>
              <w:rPr>
                <w:rFonts w:ascii="Arial" w:hAnsi="Arial"/>
                <w:sz w:val="20"/>
                <w:szCs w:val="20"/>
              </w:rPr>
              <w:t>Die Datenschutzgrundverordnung ist eine Verordnung auf EU-Ebene. Auf der Ebene darunter ist dann das jeweilige Landesdatenschutzgesetz (z.B. BayDSG) der nächste „Filter“. Für den Einsatz und die Ableitung von Zwecken sollte das Landesschulgesetz (z.B. BayEUG) bzw. die Landesschul(ver)ordnung (z.B. BaySchO) herangezogen werden. In der Anlage 2 der BaySchO sind bereits anbieterunabhängig formulierte zulässige Verarbeitungen beschrieben.</w:t>
            </w:r>
          </w:p>
        </w:tc>
        <w:tc>
          <w:tcPr>
            <w:tcW w:w="1014" w:type="dxa"/>
            <w:tcBorders>
              <w:left w:val="single" w:sz="2" w:space="0" w:color="000000"/>
              <w:bottom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t>☒</w:t>
            </w:r>
          </w:p>
        </w:tc>
        <w:tc>
          <w:tcPr>
            <w:tcW w:w="1013" w:type="dxa"/>
            <w:tcBorders>
              <w:left w:val="single" w:sz="2" w:space="0" w:color="000000"/>
              <w:bottom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t>☒</w:t>
            </w:r>
          </w:p>
        </w:tc>
        <w:tc>
          <w:tcPr>
            <w:tcW w:w="899" w:type="dxa"/>
            <w:tcBorders>
              <w:left w:val="single" w:sz="2" w:space="0" w:color="000000"/>
              <w:bottom w:val="single" w:sz="2" w:space="0" w:color="000000"/>
              <w:right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r>
          </w:p>
        </w:tc>
      </w:tr>
      <w:tr>
        <w:trPr/>
        <w:tc>
          <w:tcPr>
            <w:tcW w:w="2839" w:type="dxa"/>
            <w:tcBorders>
              <w:left w:val="single" w:sz="2" w:space="0" w:color="000000"/>
              <w:bottom w:val="single" w:sz="2" w:space="0" w:color="000000"/>
            </w:tcBorders>
          </w:tcPr>
          <w:p>
            <w:pPr>
              <w:pStyle w:val="Tabelleninhalt"/>
              <w:widowControl w:val="false"/>
              <w:bidi w:val="0"/>
              <w:jc w:val="left"/>
              <w:rPr>
                <w:rFonts w:ascii="Arial" w:hAnsi="Arial"/>
                <w:sz w:val="20"/>
                <w:szCs w:val="20"/>
              </w:rPr>
            </w:pPr>
            <w:r>
              <w:rPr>
                <w:rFonts w:ascii="Arial" w:hAnsi="Arial"/>
                <w:sz w:val="20"/>
                <w:szCs w:val="20"/>
              </w:rPr>
              <w:t>Datenschutzerklärung</w:t>
            </w:r>
          </w:p>
          <w:p>
            <w:pPr>
              <w:pStyle w:val="Tabelleninhalt"/>
              <w:widowControl w:val="false"/>
              <w:bidi w:val="0"/>
              <w:jc w:val="left"/>
              <w:rPr>
                <w:rFonts w:ascii="Arial" w:hAnsi="Arial"/>
                <w:sz w:val="20"/>
                <w:szCs w:val="20"/>
              </w:rPr>
            </w:pPr>
            <w:r>
              <w:rPr>
                <w:rFonts w:ascii="Arial" w:hAnsi="Arial"/>
                <w:sz w:val="20"/>
                <w:szCs w:val="20"/>
              </w:rPr>
              <w:t xml:space="preserve">(häufig auch „Datenschutzhinweise“) </w:t>
            </w:r>
          </w:p>
        </w:tc>
        <w:tc>
          <w:tcPr>
            <w:tcW w:w="9259" w:type="dxa"/>
            <w:tcBorders>
              <w:left w:val="single" w:sz="2" w:space="0" w:color="000000"/>
              <w:bottom w:val="single" w:sz="2" w:space="0" w:color="000000"/>
            </w:tcBorders>
          </w:tcPr>
          <w:p>
            <w:pPr>
              <w:pStyle w:val="Tabelleninhalt"/>
              <w:widowControl w:val="false"/>
              <w:bidi w:val="0"/>
              <w:jc w:val="left"/>
              <w:rPr>
                <w:rFonts w:ascii="Arial" w:hAnsi="Arial"/>
                <w:sz w:val="20"/>
                <w:szCs w:val="20"/>
              </w:rPr>
            </w:pPr>
            <w:r>
              <w:rPr>
                <w:rFonts w:ascii="Arial" w:hAnsi="Arial"/>
                <w:sz w:val="20"/>
                <w:szCs w:val="20"/>
              </w:rPr>
              <w:t xml:space="preserve">Beschreibt die Verarbeitung von Informationen und Daten durch den Anbieter v.a. von online-Angeboten. Im Falle einer Nutzung mit einem personalisierten Account unterscheidet sich diese meist von der unangemeldeten Nutzung, die typischerweise unkritischere Protokolldaten umfasst. Fallstrick: Bereits eine individuelle IP-Adresse (v.a. in Kombination mit weiteren Gerätedaten) kann jedoch ein personenbezogenes Datum darstellen! </w:t>
            </w:r>
          </w:p>
        </w:tc>
        <w:tc>
          <w:tcPr>
            <w:tcW w:w="1014" w:type="dxa"/>
            <w:tcBorders>
              <w:left w:val="single" w:sz="2" w:space="0" w:color="000000"/>
              <w:bottom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t>☒</w:t>
            </w:r>
          </w:p>
        </w:tc>
        <w:tc>
          <w:tcPr>
            <w:tcW w:w="1013" w:type="dxa"/>
            <w:tcBorders>
              <w:left w:val="single" w:sz="2" w:space="0" w:color="000000"/>
              <w:bottom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t>☒</w:t>
            </w:r>
          </w:p>
        </w:tc>
        <w:tc>
          <w:tcPr>
            <w:tcW w:w="899" w:type="dxa"/>
            <w:tcBorders>
              <w:left w:val="single" w:sz="2" w:space="0" w:color="000000"/>
              <w:bottom w:val="single" w:sz="2" w:space="0" w:color="000000"/>
              <w:right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t>☒</w:t>
            </w:r>
          </w:p>
          <w:p>
            <w:pPr>
              <w:pStyle w:val="Tabelleninhalt"/>
              <w:widowControl w:val="false"/>
              <w:bidi w:val="0"/>
              <w:jc w:val="center"/>
              <w:rPr>
                <w:rFonts w:ascii="Arial" w:hAnsi="Arial"/>
                <w:sz w:val="16"/>
                <w:szCs w:val="16"/>
              </w:rPr>
            </w:pPr>
            <w:r>
              <w:rPr>
                <w:rFonts w:ascii="Arial" w:hAnsi="Arial"/>
                <w:sz w:val="16"/>
                <w:szCs w:val="16"/>
              </w:rPr>
              <w:t>(Kenntnis)</w:t>
            </w:r>
          </w:p>
        </w:tc>
      </w:tr>
      <w:tr>
        <w:trPr/>
        <w:tc>
          <w:tcPr>
            <w:tcW w:w="2839" w:type="dxa"/>
            <w:tcBorders>
              <w:left w:val="single" w:sz="2" w:space="0" w:color="000000"/>
              <w:bottom w:val="single" w:sz="2" w:space="0" w:color="000000"/>
            </w:tcBorders>
          </w:tcPr>
          <w:p>
            <w:pPr>
              <w:pStyle w:val="Tabelleninhalt"/>
              <w:widowControl w:val="false"/>
              <w:bidi w:val="0"/>
              <w:jc w:val="left"/>
              <w:rPr>
                <w:rFonts w:ascii="Arial" w:hAnsi="Arial"/>
                <w:sz w:val="20"/>
                <w:szCs w:val="20"/>
              </w:rPr>
            </w:pPr>
            <w:r>
              <w:rPr>
                <w:rFonts w:ascii="Arial" w:hAnsi="Arial"/>
                <w:sz w:val="20"/>
                <w:szCs w:val="20"/>
              </w:rPr>
              <w:t>Einwilligung zum Datenschutz</w:t>
            </w:r>
          </w:p>
        </w:tc>
        <w:tc>
          <w:tcPr>
            <w:tcW w:w="9259" w:type="dxa"/>
            <w:tcBorders>
              <w:left w:val="single" w:sz="2" w:space="0" w:color="000000"/>
              <w:bottom w:val="single" w:sz="2" w:space="0" w:color="000000"/>
            </w:tcBorders>
          </w:tcPr>
          <w:p>
            <w:pPr>
              <w:pStyle w:val="Tabelleninhalt"/>
              <w:widowControl w:val="false"/>
              <w:bidi w:val="0"/>
              <w:jc w:val="left"/>
              <w:rPr>
                <w:rFonts w:ascii="Arial" w:hAnsi="Arial"/>
                <w:sz w:val="20"/>
                <w:szCs w:val="20"/>
              </w:rPr>
            </w:pPr>
            <w:r>
              <w:rPr>
                <w:rFonts w:ascii="Arial" w:hAnsi="Arial"/>
                <w:sz w:val="20"/>
                <w:szCs w:val="20"/>
              </w:rPr>
              <w:t>Falls keine gesetzliche Grundlage für eine verpflichtende Nutzung eines Dienstes besteht, kann eine Verarbeitung auf einer individuellen Einwilligungserklärung beruhen. Ein Problem dabei ist es, die faktische Freiwilligkeit sicherzustellen!</w:t>
            </w:r>
          </w:p>
        </w:tc>
        <w:tc>
          <w:tcPr>
            <w:tcW w:w="1014" w:type="dxa"/>
            <w:tcBorders>
              <w:left w:val="single" w:sz="2" w:space="0" w:color="000000"/>
              <w:bottom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r>
          </w:p>
        </w:tc>
        <w:tc>
          <w:tcPr>
            <w:tcW w:w="1013" w:type="dxa"/>
            <w:tcBorders>
              <w:left w:val="single" w:sz="2" w:space="0" w:color="000000"/>
              <w:bottom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t>☒</w:t>
            </w:r>
          </w:p>
        </w:tc>
        <w:tc>
          <w:tcPr>
            <w:tcW w:w="899" w:type="dxa"/>
            <w:tcBorders>
              <w:left w:val="single" w:sz="2" w:space="0" w:color="000000"/>
              <w:bottom w:val="single" w:sz="2" w:space="0" w:color="000000"/>
              <w:right w:val="single" w:sz="2" w:space="0" w:color="000000"/>
            </w:tcBorders>
          </w:tcPr>
          <w:p>
            <w:pPr>
              <w:pStyle w:val="Tabelleninhalt"/>
              <w:widowControl w:val="false"/>
              <w:bidi w:val="0"/>
              <w:jc w:val="center"/>
              <w:rPr>
                <w:rFonts w:ascii="Arial" w:hAnsi="Arial"/>
                <w:sz w:val="20"/>
                <w:szCs w:val="20"/>
              </w:rPr>
            </w:pPr>
            <w:bookmarkStart w:id="2" w:name="__DdeLink__856_2434038456"/>
            <w:r>
              <w:rPr>
                <w:rFonts w:ascii="Arial" w:hAnsi="Arial"/>
                <w:sz w:val="20"/>
                <w:szCs w:val="20"/>
              </w:rPr>
              <w:t>☒</w:t>
            </w:r>
            <w:bookmarkEnd w:id="2"/>
          </w:p>
        </w:tc>
      </w:tr>
      <w:tr>
        <w:trPr/>
        <w:tc>
          <w:tcPr>
            <w:tcW w:w="2839" w:type="dxa"/>
            <w:tcBorders>
              <w:left w:val="single" w:sz="2" w:space="0" w:color="000000"/>
              <w:bottom w:val="single" w:sz="2" w:space="0" w:color="000000"/>
            </w:tcBorders>
          </w:tcPr>
          <w:p>
            <w:pPr>
              <w:pStyle w:val="Tabelleninhalt"/>
              <w:widowControl w:val="false"/>
              <w:bidi w:val="0"/>
              <w:jc w:val="left"/>
              <w:rPr>
                <w:rFonts w:ascii="Arial" w:hAnsi="Arial"/>
                <w:sz w:val="20"/>
                <w:szCs w:val="20"/>
              </w:rPr>
            </w:pPr>
            <w:r>
              <w:rPr>
                <w:rFonts w:ascii="Arial" w:hAnsi="Arial"/>
                <w:sz w:val="20"/>
                <w:szCs w:val="20"/>
              </w:rPr>
              <w:t>Nutzungsbedingungen</w:t>
            </w:r>
          </w:p>
        </w:tc>
        <w:tc>
          <w:tcPr>
            <w:tcW w:w="9259" w:type="dxa"/>
            <w:tcBorders>
              <w:left w:val="single" w:sz="2" w:space="0" w:color="000000"/>
              <w:bottom w:val="single" w:sz="2" w:space="0" w:color="000000"/>
            </w:tcBorders>
          </w:tcPr>
          <w:p>
            <w:pPr>
              <w:pStyle w:val="Tabelleninhalt"/>
              <w:widowControl w:val="false"/>
              <w:bidi w:val="0"/>
              <w:jc w:val="left"/>
              <w:rPr>
                <w:rFonts w:ascii="Arial" w:hAnsi="Arial"/>
                <w:sz w:val="20"/>
                <w:szCs w:val="20"/>
              </w:rPr>
            </w:pPr>
            <w:r>
              <w:rPr>
                <w:rFonts w:ascii="Arial" w:hAnsi="Arial"/>
                <w:sz w:val="20"/>
                <w:szCs w:val="20"/>
              </w:rPr>
              <w:t xml:space="preserve">Zeigen dem Nutzer, welche Funktionen eines Angebots seitens des Anbieters in welchem Umfang genutzt werden dürfen und welches Fehlverhalten ggf. zum Ausschluss von der Nutzung des Dienstes führen kann. </w:t>
            </w:r>
          </w:p>
          <w:p>
            <w:pPr>
              <w:pStyle w:val="Tabelleninhalt"/>
              <w:widowControl w:val="false"/>
              <w:bidi w:val="0"/>
              <w:jc w:val="left"/>
              <w:rPr>
                <w:rFonts w:ascii="Arial" w:hAnsi="Arial"/>
                <w:b/>
                <w:bCs/>
                <w:sz w:val="20"/>
                <w:szCs w:val="20"/>
              </w:rPr>
            </w:pPr>
            <w:r>
              <w:rPr>
                <w:rFonts w:ascii="Arial" w:hAnsi="Arial"/>
                <w:b/>
                <w:bCs/>
                <w:sz w:val="20"/>
                <w:szCs w:val="20"/>
              </w:rPr>
              <w:t>Nutzungsbedingungen haben zunächst keinen direkten Bezug zum Datenschutz.</w:t>
            </w:r>
          </w:p>
        </w:tc>
        <w:tc>
          <w:tcPr>
            <w:tcW w:w="1014" w:type="dxa"/>
            <w:tcBorders>
              <w:left w:val="single" w:sz="2" w:space="0" w:color="000000"/>
              <w:bottom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r>
          </w:p>
        </w:tc>
        <w:tc>
          <w:tcPr>
            <w:tcW w:w="1013" w:type="dxa"/>
            <w:tcBorders>
              <w:left w:val="single" w:sz="2" w:space="0" w:color="000000"/>
              <w:bottom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t>☒</w:t>
            </w:r>
          </w:p>
        </w:tc>
        <w:tc>
          <w:tcPr>
            <w:tcW w:w="899" w:type="dxa"/>
            <w:tcBorders>
              <w:left w:val="single" w:sz="2" w:space="0" w:color="000000"/>
              <w:bottom w:val="single" w:sz="2" w:space="0" w:color="000000"/>
              <w:right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t>☒</w:t>
            </w:r>
          </w:p>
          <w:p>
            <w:pPr>
              <w:pStyle w:val="Tabelleninhalt"/>
              <w:widowControl w:val="false"/>
              <w:bidi w:val="0"/>
              <w:jc w:val="center"/>
              <w:rPr>
                <w:rFonts w:ascii="Arial" w:hAnsi="Arial"/>
                <w:sz w:val="16"/>
                <w:szCs w:val="16"/>
              </w:rPr>
            </w:pPr>
            <w:r>
              <w:rPr>
                <w:rFonts w:ascii="Arial" w:hAnsi="Arial"/>
                <w:sz w:val="16"/>
                <w:szCs w:val="16"/>
              </w:rPr>
              <w:t>(beachten)</w:t>
            </w:r>
          </w:p>
        </w:tc>
      </w:tr>
      <w:tr>
        <w:trPr/>
        <w:tc>
          <w:tcPr>
            <w:tcW w:w="2839" w:type="dxa"/>
            <w:tcBorders>
              <w:left w:val="single" w:sz="2" w:space="0" w:color="000000"/>
              <w:bottom w:val="single" w:sz="2" w:space="0" w:color="000000"/>
            </w:tcBorders>
          </w:tcPr>
          <w:p>
            <w:pPr>
              <w:pStyle w:val="Tabelleninhalt"/>
              <w:widowControl w:val="false"/>
              <w:bidi w:val="0"/>
              <w:jc w:val="left"/>
              <w:rPr>
                <w:rFonts w:ascii="Arial" w:hAnsi="Arial"/>
                <w:sz w:val="20"/>
                <w:szCs w:val="20"/>
              </w:rPr>
            </w:pPr>
            <w:r>
              <w:rPr>
                <w:rFonts w:ascii="Arial" w:hAnsi="Arial"/>
                <w:sz w:val="20"/>
                <w:szCs w:val="20"/>
              </w:rPr>
              <w:t>Impressum</w:t>
            </w:r>
          </w:p>
        </w:tc>
        <w:tc>
          <w:tcPr>
            <w:tcW w:w="9259" w:type="dxa"/>
            <w:tcBorders>
              <w:left w:val="single" w:sz="2" w:space="0" w:color="000000"/>
              <w:bottom w:val="single" w:sz="2" w:space="0" w:color="000000"/>
            </w:tcBorders>
          </w:tcPr>
          <w:p>
            <w:pPr>
              <w:pStyle w:val="Tabelleninhalt"/>
              <w:widowControl w:val="false"/>
              <w:bidi w:val="0"/>
              <w:jc w:val="left"/>
              <w:rPr>
                <w:rFonts w:ascii="Arial" w:hAnsi="Arial"/>
                <w:sz w:val="20"/>
                <w:szCs w:val="20"/>
              </w:rPr>
            </w:pPr>
            <w:r>
              <w:rPr>
                <w:rFonts w:ascii="Arial" w:hAnsi="Arial"/>
                <w:sz w:val="20"/>
                <w:szCs w:val="20"/>
              </w:rPr>
              <w:t>Ein Impressum dient dazu, bei nicht privaten Webseiten dem Nutzer erkenntlich zu machen, wer genau für den Inhalt der Website im Internet verantwortlich ist. Es ist nicht aufgrund der DSGVO sondern u.a. aufgrund des Telemediengesetzes erforderlich.</w:t>
            </w:r>
          </w:p>
        </w:tc>
        <w:tc>
          <w:tcPr>
            <w:tcW w:w="1014" w:type="dxa"/>
            <w:tcBorders>
              <w:left w:val="single" w:sz="2" w:space="0" w:color="000000"/>
              <w:bottom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t>☒</w:t>
            </w:r>
          </w:p>
        </w:tc>
        <w:tc>
          <w:tcPr>
            <w:tcW w:w="1013" w:type="dxa"/>
            <w:tcBorders>
              <w:left w:val="single" w:sz="2" w:space="0" w:color="000000"/>
              <w:bottom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t>☒</w:t>
            </w:r>
          </w:p>
        </w:tc>
        <w:tc>
          <w:tcPr>
            <w:tcW w:w="899" w:type="dxa"/>
            <w:tcBorders>
              <w:left w:val="single" w:sz="2" w:space="0" w:color="000000"/>
              <w:bottom w:val="single" w:sz="2" w:space="0" w:color="000000"/>
              <w:right w:val="single" w:sz="2" w:space="0" w:color="000000"/>
            </w:tcBorders>
          </w:tcPr>
          <w:p>
            <w:pPr>
              <w:pStyle w:val="Tabelleninhalt"/>
              <w:widowControl w:val="false"/>
              <w:bidi w:val="0"/>
              <w:jc w:val="center"/>
              <w:rPr>
                <w:rFonts w:ascii="Arial" w:hAnsi="Arial"/>
                <w:sz w:val="20"/>
                <w:szCs w:val="20"/>
              </w:rPr>
            </w:pPr>
            <w:r>
              <w:rPr>
                <w:rFonts w:ascii="Arial" w:hAnsi="Arial"/>
                <w:sz w:val="20"/>
                <w:szCs w:val="20"/>
              </w:rPr>
            </w:r>
          </w:p>
        </w:tc>
      </w:tr>
    </w:tbl>
    <w:p>
      <w:pPr>
        <w:pStyle w:val="Tabelleninhalt"/>
        <w:bidi w:val="0"/>
        <w:jc w:val="center"/>
        <w:rPr>
          <w:rFonts w:ascii="Arial" w:hAnsi="Arial"/>
          <w:sz w:val="20"/>
          <w:szCs w:val="20"/>
        </w:rPr>
      </w:pPr>
      <w:r>
        <w:rPr/>
      </w:r>
    </w:p>
    <w:sectPr>
      <w:type w:val="nextPage"/>
      <w:pgSz w:orient="landscape" w:w="16838" w:h="11906"/>
      <w:pgMar w:left="907" w:right="907" w:gutter="0" w:header="0" w:top="907" w:footer="0" w:bottom="907"/>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1"/>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1"/>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1"/>
    <w:family w:val="roman"/>
    <w:pitch w:val="variable"/>
  </w:font>
</w:fonts>
</file>

<file path=word/settings.xml><?xml version="1.0" encoding="utf-8"?>
<w:settings xmlns:w="http://schemas.openxmlformats.org/wordprocessingml/2006/main">
  <w:zoom w:percent="160"/>
  <w:embedTrueTypeFonts/>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Mangal"/>
        <w:kern w:val="2"/>
        <w:sz w:val="24"/>
        <w:szCs w:val="24"/>
        <w:lang w:val="de-DE" w:eastAsia="zh-CN" w:bidi="hi-IN"/>
      </w:rPr>
    </w:rPrDefault>
    <w:pPrDefault>
      <w:pPr>
        <w:suppressAutoHyphens w:val="true"/>
      </w:pPr>
    </w:pPrDefault>
  </w:docDefaults>
  <w:style w:type="paragraph" w:styleId="Normal">
    <w:name w:val="Normal"/>
    <w:qFormat/>
    <w:pPr>
      <w:widowControl/>
      <w:suppressAutoHyphens w:val="true"/>
      <w:overflowPunct w:val="false"/>
      <w:bidi w:val="0"/>
      <w:spacing w:before="0" w:after="0"/>
      <w:jc w:val="left"/>
    </w:pPr>
    <w:rPr>
      <w:rFonts w:ascii="Liberation Serif" w:hAnsi="Liberation Serif" w:eastAsia="Noto Serif CJK SC" w:cs="Mangal"/>
      <w:color w:val="auto"/>
      <w:kern w:val="2"/>
      <w:sz w:val="24"/>
      <w:szCs w:val="24"/>
      <w:lang w:val="de-DE" w:eastAsia="zh-CN" w:bidi="hi-IN"/>
    </w:rPr>
  </w:style>
  <w:style w:type="paragraph" w:styleId="Berschrift">
    <w:name w:val="Überschrift"/>
    <w:basedOn w:val="Normal"/>
    <w:next w:val="Textkrper"/>
    <w:qFormat/>
    <w:pPr>
      <w:keepNext w:val="true"/>
      <w:spacing w:before="240" w:after="120"/>
    </w:pPr>
    <w:rPr>
      <w:rFonts w:ascii="Liberation Sans" w:hAnsi="Liberation Sans" w:eastAsia="Noto Sans CJK SC" w:cs="Mangal"/>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Mangal"/>
    </w:rPr>
  </w:style>
  <w:style w:type="paragraph" w:styleId="Beschriftung">
    <w:name w:val="Caption"/>
    <w:basedOn w:val="Normal"/>
    <w:qFormat/>
    <w:pPr>
      <w:suppressLineNumbers/>
      <w:spacing w:before="120" w:after="120"/>
    </w:pPr>
    <w:rPr>
      <w:rFonts w:cs="Mangal"/>
      <w:i/>
      <w:iCs/>
      <w:sz w:val="24"/>
      <w:szCs w:val="24"/>
    </w:rPr>
  </w:style>
  <w:style w:type="paragraph" w:styleId="Verzeichnis">
    <w:name w:val="Verzeichnis"/>
    <w:basedOn w:val="Normal"/>
    <w:qFormat/>
    <w:pPr>
      <w:suppressLineNumbers/>
    </w:pPr>
    <w:rPr>
      <w:rFonts w:cs="Mangal"/>
    </w:rPr>
  </w:style>
  <w:style w:type="paragraph" w:styleId="Tabelleninhalt">
    <w:name w:val="Tabelleninhalt"/>
    <w:basedOn w:val="Normal"/>
    <w:qFormat/>
    <w:pPr>
      <w:widowControl w:val="false"/>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docProps/app.xml><?xml version="1.0" encoding="utf-8"?>
<Properties xmlns="http://schemas.openxmlformats.org/officeDocument/2006/extended-properties" xmlns:vt="http://schemas.openxmlformats.org/officeDocument/2006/docPropsVTypes">
  <Template/>
  <TotalTime>180</TotalTime>
  <Application>LibreOffice/7.5.2.2$Linux_X86_64 LibreOffice_project/50$Build-2</Application>
  <AppVersion>15.0000</AppVersion>
  <Pages>2</Pages>
  <Words>884</Words>
  <Characters>6429</Characters>
  <CharactersWithSpaces>7246</CharactersWithSpaces>
  <Paragraphs>79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2023-04-25T14:52:21Z</dcterms:created>
  <dc:creator>Joachim Jakob</dc:creator>
  <dc:description/>
  <dc:language>de-DE</dc:language>
  <cp:lastModifiedBy>Joachim Jakob</cp:lastModifiedBy>
  <dcterms:modified xsi:type="dcterms:W3CDTF">2023-04-26T08:35:20Z</dcterms:modified>
  <cp:revision>144</cp:revision>
  <dc:subject/>
  <dc:title/>
</cp:coreProperties>
</file>

<file path=docProps/custom.xml><?xml version="1.0" encoding="utf-8"?>
<Properties xmlns="http://schemas.openxmlformats.org/officeDocument/2006/custom-properties" xmlns:vt="http://schemas.openxmlformats.org/officeDocument/2006/docPropsVTypes"/>
</file>